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280" w:after="280"/>
        <w:jc w:val="center"/>
        <w:rPr>
          <w:b/>
          <w:szCs w:val="28"/>
        </w:rPr>
      </w:pPr>
      <w:r>
        <w:rPr>
          <w:b/>
          <w:szCs w:val="28"/>
        </w:rPr>
        <w:t>Правила оформления текстового документа</w:t>
      </w:r>
    </w:p>
    <w:p>
      <w:pPr>
        <w:pStyle w:val="NormalWeb"/>
        <w:spacing w:before="280" w:after="280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 xml:space="preserve">Текст набирается в русифицированном редакторе </w:t>
      </w:r>
      <w:r>
        <w:rPr>
          <w:b/>
          <w:i/>
          <w:szCs w:val="28"/>
        </w:rPr>
        <w:t>MicrosoftWord</w:t>
      </w:r>
      <w:r>
        <w:rPr>
          <w:szCs w:val="28"/>
        </w:rPr>
        <w:t xml:space="preserve">;; </w:t>
      </w:r>
      <w:r>
        <w:rPr>
          <w:b/>
          <w:szCs w:val="28"/>
        </w:rPr>
        <w:t>страницы не нумеруются</w:t>
      </w:r>
      <w:r>
        <w:rPr>
          <w:szCs w:val="28"/>
        </w:rPr>
        <w:t xml:space="preserve">. Рисунки, таблицы, графики, фотографии должны быть включены в текст работы. Объем до </w:t>
      </w:r>
      <w:r>
        <w:rPr>
          <w:b/>
          <w:szCs w:val="28"/>
        </w:rPr>
        <w:t>4</w:t>
        <w:noBreakHyphen/>
        <w:t>6</w:t>
      </w:r>
      <w:r>
        <w:rPr>
          <w:szCs w:val="28"/>
        </w:rPr>
        <w:t xml:space="preserve"> машинописных страниц.</w:t>
      </w:r>
    </w:p>
    <w:p>
      <w:pPr>
        <w:pStyle w:val="NormalWeb"/>
        <w:spacing w:before="280" w:after="280"/>
        <w:jc w:val="both"/>
        <w:rPr>
          <w:b/>
          <w:szCs w:val="28"/>
        </w:rPr>
      </w:pPr>
      <w:r>
        <w:rPr>
          <w:b/>
          <w:szCs w:val="28"/>
        </w:rPr>
        <w:t>Общие свойства документа для MicrosoftWord: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страница А4, книжная ориентация, формат </w:t>
      </w:r>
      <w:r>
        <w:rPr>
          <w:b/>
          <w:szCs w:val="28"/>
        </w:rPr>
        <w:t>А4</w:t>
      </w:r>
      <w:r>
        <w:rPr>
          <w:szCs w:val="28"/>
        </w:rPr>
        <w:t xml:space="preserve"> (210×297 мм);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поля: верхнее и нижнее – 2 см, правое и левое 2 см;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шрифт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размер шрифта основного текста – </w:t>
      </w:r>
      <w:r>
        <w:rPr>
          <w:b/>
          <w:szCs w:val="28"/>
        </w:rPr>
        <w:t>14 пт</w:t>
      </w:r>
      <w:r>
        <w:rPr>
          <w:szCs w:val="28"/>
        </w:rPr>
        <w:t>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межстрочный интервал </w:t>
      </w:r>
      <w:r>
        <w:rPr>
          <w:szCs w:val="28"/>
          <w:u w:val="single"/>
        </w:rPr>
        <w:t>одинарный</w:t>
      </w:r>
      <w:r>
        <w:rPr>
          <w:szCs w:val="28"/>
        </w:rPr>
        <w:t xml:space="preserve">, отступа перед абзацем и после абзаца </w:t>
      </w:r>
      <w:r>
        <w:rPr>
          <w:szCs w:val="28"/>
          <w:u w:val="single"/>
        </w:rPr>
        <w:t>нет</w:t>
      </w:r>
      <w:r>
        <w:rPr>
          <w:szCs w:val="28"/>
        </w:rPr>
        <w:t xml:space="preserve">, </w:t>
      </w:r>
      <w:r>
        <w:rPr>
          <w:b/>
          <w:szCs w:val="28"/>
        </w:rPr>
        <w:t>абзацный отступ (</w:t>
      </w:r>
      <w:r>
        <w:rPr>
          <w:szCs w:val="28"/>
        </w:rPr>
        <w:t xml:space="preserve">отступ «красной строки») </w:t>
      </w:r>
      <w:r>
        <w:rPr>
          <w:b/>
          <w:szCs w:val="28"/>
        </w:rPr>
        <w:t xml:space="preserve">– </w:t>
      </w:r>
      <w:r>
        <w:rPr>
          <w:szCs w:val="28"/>
        </w:rPr>
        <w:t>1,25 см;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автоматические переносы отключены;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не допускается использование табуляции или пробелов для формирования отступа первой строки;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не допускается использование пробелов для выравнивания текста (пожалуйста, проверьте, чтобы все слова основного текста были отделены друг от друга не более чем одним пробелом); </w:t>
      </w:r>
    </w:p>
    <w:p>
      <w:pPr>
        <w:pStyle w:val="Normal"/>
        <w:ind w:left="0" w:right="0" w:hanging="0"/>
        <w:jc w:val="both"/>
        <w:rPr/>
      </w:pPr>
      <w:r>
        <w:rPr>
          <w:szCs w:val="28"/>
        </w:rPr>
        <w:t xml:space="preserve">- </w:t>
      </w:r>
      <w:r>
        <w:rPr/>
        <w:t>сокращения слов не допускаются, кроме общепринятых; аббревиатуры при первом их упоминании должны быть полностью расшифрованы.</w:t>
      </w:r>
    </w:p>
    <w:p>
      <w:pPr>
        <w:pStyle w:val="ListParagraph"/>
        <w:ind w:left="0" w:right="0" w:firstLine="709"/>
        <w:jc w:val="both"/>
        <w:rPr>
          <w:rStyle w:val="Strong"/>
          <w:rFonts w:cs=""/>
          <w:color w:val="000000"/>
          <w:szCs w:val="28"/>
        </w:rPr>
      </w:pPr>
      <w:r>
        <w:rPr>
          <w:rStyle w:val="Strong"/>
          <w:rFonts w:cs=""/>
          <w:color w:val="000000"/>
          <w:szCs w:val="28"/>
        </w:rPr>
        <w:t>Оформление иллюстративного материала и таблиц: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при наличии иллюстративного материала (рисунки, диаграммы, фотографии, графики и т. п.) и таблиц в тексте должна быть обязательно ссылка на иллюстрацию (рисунок) или таблицу;</w:t>
      </w:r>
    </w:p>
    <w:p>
      <w:pPr>
        <w:pStyle w:val="Normal"/>
        <w:widowControl w:val="false"/>
        <w:ind w:left="0" w:right="0" w:hanging="0"/>
        <w:jc w:val="both"/>
        <w:rPr>
          <w:szCs w:val="28"/>
        </w:rPr>
      </w:pPr>
      <w:r>
        <w:rPr>
          <w:szCs w:val="28"/>
        </w:rPr>
        <w:t>- иллюстрацию (рисунок) или таблицу размещают под текстом, в котором впервые дана ссылка на них, или на следующей странице;</w:t>
      </w:r>
    </w:p>
    <w:p>
      <w:pPr>
        <w:pStyle w:val="Normal"/>
        <w:widowControl w:val="false"/>
        <w:ind w:left="0" w:right="0" w:hanging="0"/>
        <w:jc w:val="both"/>
        <w:rPr>
          <w:szCs w:val="28"/>
        </w:rPr>
      </w:pPr>
      <w:r>
        <w:rPr>
          <w:szCs w:val="28"/>
        </w:rPr>
        <w:t>- при ссылке рекомендуется использовать слова формулировки, например: «… в соответствии с таблицей 1»; «… в таблице 2», «… как видно из рисунка 1».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допускается приводить ссылку на иллюстрацию (рисунок) или таблицу в круглых скобках с указанием порядкового номера, например: (рис. 1), (табл. 1).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 таблицы, рисунки должны иметь порядковую нумерацию, нумерация иллюстраций (рисунков) и таблиц ведется раздельно; если рисунок в статье один или таблица в статье одна, то номера не проставляются;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слово «Таблица» и ее порядковый номер ставят в правом верхнем углу, название таблицы пишется на следующей строке по центру, шрифт </w:t>
      </w:r>
      <w:r>
        <w:rPr>
          <w:szCs w:val="28"/>
          <w:lang w:val="en-US"/>
        </w:rPr>
        <w:t>TimesNewRoman</w:t>
      </w:r>
      <w:r>
        <w:rPr>
          <w:szCs w:val="28"/>
        </w:rPr>
        <w:t>, 12 пт;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>- с</w:t>
      </w:r>
      <w:r>
        <w:rPr>
          <w:color w:val="000000"/>
          <w:spacing w:val="2"/>
          <w:szCs w:val="28"/>
          <w:shd w:fill="FFFFFF" w:val="clear"/>
        </w:rPr>
        <w:t xml:space="preserve">лово «Рис.» и </w:t>
      </w:r>
      <w:r>
        <w:rPr>
          <w:szCs w:val="28"/>
        </w:rPr>
        <w:t xml:space="preserve">порядковый номер рисунка, название рисунка пишется под рисунком, выравнивается по центру, шрифт </w:t>
      </w:r>
      <w:r>
        <w:rPr>
          <w:szCs w:val="28"/>
          <w:lang w:val="en-US"/>
        </w:rPr>
        <w:t>TimesNewRoman</w:t>
      </w:r>
      <w:r>
        <w:rPr>
          <w:szCs w:val="28"/>
        </w:rPr>
        <w:t>, 12 пт;</w:t>
      </w:r>
    </w:p>
    <w:p>
      <w:pPr>
        <w:pStyle w:val="Normal"/>
        <w:ind w:left="0" w:right="0" w:hanging="0"/>
        <w:jc w:val="both"/>
        <w:rPr>
          <w:szCs w:val="28"/>
        </w:rPr>
      </w:pPr>
      <w:r>
        <w:rPr>
          <w:szCs w:val="28"/>
        </w:rPr>
        <w:t xml:space="preserve">- рекомендуемые размеры рисунков: 60×150, 60×70 мм с разрешением не менее </w:t>
      </w:r>
      <w:r>
        <w:rPr>
          <w:i/>
          <w:szCs w:val="28"/>
        </w:rPr>
        <w:t>300 dpi</w:t>
      </w:r>
      <w:r>
        <w:rPr>
          <w:szCs w:val="28"/>
        </w:rPr>
        <w:t>.</w:t>
      </w:r>
    </w:p>
    <w:p>
      <w:pPr>
        <w:pStyle w:val="Normal"/>
        <w:widowControl w:val="false"/>
        <w:jc w:val="both"/>
        <w:rPr>
          <w:szCs w:val="28"/>
        </w:rPr>
      </w:pPr>
      <w:r>
        <w:rPr>
          <w:b/>
          <w:szCs w:val="28"/>
        </w:rPr>
        <w:t>Единицы физических величин</w:t>
      </w:r>
      <w:r>
        <w:rPr>
          <w:szCs w:val="28"/>
        </w:rPr>
        <w:t>. При подготовке рукописи необходимо руководствоваться Международной системой единиц (СИ).</w:t>
      </w:r>
    </w:p>
    <w:p>
      <w:pPr>
        <w:pStyle w:val="Normal"/>
        <w:widowControl w:val="false"/>
        <w:jc w:val="both"/>
        <w:rPr>
          <w:szCs w:val="28"/>
        </w:rPr>
      </w:pPr>
      <w:r>
        <w:rPr>
          <w:b/>
          <w:szCs w:val="28"/>
        </w:rPr>
        <w:t>Математические формулы</w:t>
      </w:r>
      <w:r>
        <w:rPr>
          <w:szCs w:val="28"/>
        </w:rPr>
        <w:t xml:space="preserve">. При оформлении формул в качестве символов следует применять обозначения, установленные соответствующими национальными стандартами. Сложные и многострочные формулы должны быть целиком набраны в редакторе формул </w:t>
      </w:r>
      <w:r>
        <w:rPr>
          <w:b/>
          <w:szCs w:val="28"/>
          <w:u w:val="single"/>
        </w:rPr>
        <w:t>MicrosoftEquation 3.0</w:t>
      </w:r>
      <w:r>
        <w:rPr>
          <w:szCs w:val="28"/>
        </w:rPr>
        <w:t xml:space="preserve">. Формулы и уравнения, за исключением коротких, следует выделять из текста в отдельную строку. Переносить формулы на следующую строку допускается только на знаках выполняемых операций, </w:t>
      </w:r>
      <w:r>
        <w:rPr>
          <w:bCs/>
          <w:szCs w:val="28"/>
        </w:rPr>
        <w:t>причем знак в начале следующей строки повторяют</w:t>
      </w:r>
      <w:r>
        <w:rPr>
          <w:szCs w:val="28"/>
        </w:rPr>
        <w:t>. При переносе формулы на знаке умножения применяют знак «×».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 в той же последовательности, в которой они даны в формуле. Формулы должны нумероваться сквозной нумерацией арабскими цифрами, которые записывают на уровне формулы справа в круглых скобках. Ссылки в тексте на порядковые номера формул дают в скобках. Например: ...в формуле (1).</w:t>
      </w:r>
    </w:p>
    <w:p>
      <w:pPr>
        <w:pStyle w:val="Normal"/>
        <w:widowControl w:val="false"/>
        <w:jc w:val="both"/>
        <w:rPr>
          <w:szCs w:val="28"/>
        </w:rPr>
      </w:pPr>
      <w:r>
        <w:rPr>
          <w:b/>
          <w:szCs w:val="28"/>
        </w:rPr>
        <w:t>Библиографический список</w:t>
      </w:r>
      <w:r>
        <w:rPr>
          <w:szCs w:val="28"/>
        </w:rPr>
        <w:t>, оформленный в соответствии с ГОСТ Р 7.05</w:t>
      </w:r>
      <w:r>
        <w:rPr>
          <w:rFonts w:eastAsia="MS Mincho"/>
          <w:szCs w:val="28"/>
        </w:rPr>
        <w:noBreakHyphen/>
      </w:r>
      <w:r>
        <w:rPr>
          <w:szCs w:val="28"/>
        </w:rPr>
        <w:t xml:space="preserve">2008 Библиографическая ссылка. Общие требования и правила составления, составляется по ходу упоминания литературы в тексте и приводится в конце рукописи. В пристатейных списках литературы надо указывать фамилии и инициалы </w:t>
      </w:r>
      <w:r>
        <w:rPr>
          <w:b/>
          <w:bCs/>
          <w:szCs w:val="28"/>
        </w:rPr>
        <w:t xml:space="preserve">всех </w:t>
      </w:r>
      <w:r>
        <w:rPr>
          <w:szCs w:val="28"/>
        </w:rPr>
        <w:t>авторов статьи, т. к. сокращение авторского коллектива до 2–3 фамилий влечет за собой потерю цитируемости неназванных соавторов. Ссылки в тексте на литературу даются в квадратных скобках, например [1], [2, 3], [4–7], [4, стр. 23–28]. Внимание авторы, в работе не должно быть более 30 % собственных статей, не менее 50 % – литература за последние 10 лет, обязательно включайте иностранные источники (желательно не менее 50 %).</w:t>
      </w:r>
    </w:p>
    <w:p>
      <w:pPr>
        <w:pStyle w:val="Normal"/>
        <w:widowControl w:val="false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="280" w:after="280"/>
        <w:rPr>
          <w:b/>
          <w:szCs w:val="28"/>
        </w:rPr>
      </w:pPr>
      <w:r>
        <w:rPr>
          <w:b/>
          <w:szCs w:val="28"/>
        </w:rPr>
        <w:t>Схема компоновки публикации: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1. В самой верхней строке с выравниванием </w:t>
      </w:r>
      <w:r>
        <w:rPr>
          <w:i/>
          <w:szCs w:val="28"/>
        </w:rPr>
        <w:t>по левой стороне</w:t>
      </w:r>
      <w:r>
        <w:rPr>
          <w:szCs w:val="28"/>
        </w:rPr>
        <w:t xml:space="preserve"> пишется код УДК, максимально точно отражающий тематику вашей работы и/или код ВАК (согласно действующей номенклатуре специальностей научных работников). Каталоги кодов УДК можно найти в интернете, например, на сайте </w:t>
      </w:r>
      <w:hyperlink r:id="rId2">
        <w:r>
          <w:rPr>
            <w:rStyle w:val="Style9"/>
            <w:rFonts w:cs=""/>
            <w:szCs w:val="28"/>
          </w:rPr>
          <w:t>http://pu.virmk.ru/doc/UDK/</w:t>
        </w:r>
      </w:hyperlink>
      <w:r>
        <w:rPr>
          <w:szCs w:val="28"/>
        </w:rPr>
        <w:t>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2. Ставится пустая строка.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3. Название работы: ПРОПИСНЫМИ БУКВАМИ, </w:t>
      </w:r>
      <w:r>
        <w:rPr>
          <w:b/>
          <w:bCs/>
          <w:szCs w:val="28"/>
        </w:rPr>
        <w:t>полужирным шрифтом</w:t>
      </w:r>
      <w:r>
        <w:rPr>
          <w:szCs w:val="28"/>
        </w:rPr>
        <w:t xml:space="preserve">, выравнивание по центру. Точка в конце названия не ставится. Обращаем внимание, что в названии </w:t>
      </w:r>
      <w:r>
        <w:rPr>
          <w:szCs w:val="28"/>
          <w:u w:val="single"/>
        </w:rPr>
        <w:t>тезисов в информационной системе</w:t>
      </w:r>
      <w:r>
        <w:rPr>
          <w:szCs w:val="28"/>
        </w:rPr>
        <w:t xml:space="preserve"> должны быть только те прописные буквы, которые предписываются правилами грамматики и орфографии русского языка.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4. После названия работы ставится пустая строка.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5. Список авторов: выравнивание по центру, шрифт </w:t>
      </w:r>
      <w:r>
        <w:rPr>
          <w:i/>
          <w:szCs w:val="28"/>
        </w:rPr>
        <w:t>курсив</w:t>
      </w:r>
      <w:r>
        <w:rPr>
          <w:szCs w:val="28"/>
        </w:rPr>
        <w:t xml:space="preserve">. Имя и отчество пишется полностью после фамилии. Соавторы работы и научные руководители разделяются запятой. Для указания степени, звания и должности можно воспользоваться справочными материалами, представленными на сайте журнала: </w:t>
      </w:r>
      <w:hyperlink r:id="rId3">
        <w:r>
          <w:rPr>
            <w:rStyle w:val="Style9"/>
            <w:szCs w:val="28"/>
          </w:rPr>
          <w:t>http://journals.nstu.ru/files/2_4/affiliation.doc</w:t>
        </w:r>
      </w:hyperlink>
      <w:r>
        <w:rPr>
          <w:szCs w:val="28"/>
        </w:rPr>
        <w:t xml:space="preserve"> 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6. Для указания принадлежности конкретного автора к конкретной организации используется система цифровых надстрочных индексов. Если авторов несколько, у каждой фамилии и соответствующей организации проставляется цифровой индекс. Если все авторы статьи работают в одной организации, указывать место работы каждого автора отдельно не нужно.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7. Название организации: выравнивание по центру, юридический статус организации (ФГОУ ВПО, НОУ ВПО, ФГУН и т.д.) не указывается. Если работа выполнена в нескольких организациях, каждая организация указывается в отдельной строке.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8. Рядом с названием организации через запятую указывается полный почтовый адрес организации (включая название улицы, город, почтовый индекс, страна.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9. На следующей строке указывается для каждого автора его электронная почта: выравнивание по центру, после названия почты никаких знаков не ставится.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10. Корреспондентский почтовый адрес и телефон для контактов с авторами статьи (можно один на всех авторов).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11. Аннотация (авторское резюме) на основе ГОСТ 7.9-95 – сжатый обзор содержания работы (по ГОСТ не менее 10 строк, 850 знаков), указывает на ключевые проблемы, на подход к этим проблемам и на достижения работы; следует применять значимые слова из текста статьи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12. Ключевые слова и словосочетания, которые отражают основное содержание статьи и, по возможности, не повторяют термины заглавия и аннотации (5–10 штук). Ключевые слова или словосочетания отделяются друг от друга точкой с запятой.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13. Желательная структура текста представляемого материала: 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Введение</w:t>
      </w:r>
      <w:r>
        <w:rPr>
          <w:szCs w:val="28"/>
        </w:rPr>
        <w:t xml:space="preserve"> (краткий обзор по состоянию проблемы с цитатами или ссылками на актуальную литературу; в конце раздела необходимо сформулировать цель или задачу нового исследования и то как вы это сделали).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Теория</w:t>
      </w:r>
      <w:r>
        <w:rPr>
          <w:szCs w:val="28"/>
        </w:rPr>
        <w:t xml:space="preserve"> (для теоретических работ) или </w:t>
      </w:r>
      <w:r>
        <w:rPr>
          <w:b/>
          <w:szCs w:val="28"/>
        </w:rPr>
        <w:t>методика</w:t>
      </w:r>
      <w:r>
        <w:rPr>
          <w:szCs w:val="28"/>
        </w:rPr>
        <w:t xml:space="preserve"> экспериментального исследования (для экспериментальных работ). Следует избегать повторений, излишних подробностей и известных положений, подробных выводов формул и уравнений (приводить лишь окончательные формулы, пояснив, как они получены).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Результаты и обсуждение</w:t>
      </w:r>
      <w:r>
        <w:rPr>
          <w:szCs w:val="28"/>
        </w:rPr>
        <w:t>.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 </w:t>
      </w:r>
      <w:r>
        <w:rPr>
          <w:b/>
          <w:szCs w:val="28"/>
        </w:rPr>
        <w:t>Выводы</w:t>
      </w:r>
      <w:r>
        <w:rPr>
          <w:szCs w:val="28"/>
        </w:rPr>
        <w:t xml:space="preserve"> (по результатам работы, описанной в данной статье; следует быть лаконичным).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14. Библиографический список отделяется от основного текста, позиции нумеруются, после номера ставится точка. В тексте ссылки на литературу оформляются номерами пунктов в квадратных скобках через запятую или тире: [1], [2, 3], [1–4].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Англоязычный блок статьи</w:t>
      </w:r>
      <w:r>
        <w:rPr>
          <w:szCs w:val="28"/>
        </w:rPr>
        <w:t xml:space="preserve"> подготавливается после русскоязычного списка литературы.</w:t>
      </w:r>
    </w:p>
    <w:p>
      <w:pPr>
        <w:pStyle w:val="Normal"/>
        <w:widowControl w:val="false"/>
        <w:jc w:val="both"/>
        <w:rPr>
          <w:szCs w:val="28"/>
        </w:rPr>
      </w:pPr>
      <w:r>
        <w:rPr>
          <w:b/>
          <w:szCs w:val="28"/>
        </w:rPr>
        <w:t>Англоязычный блок</w:t>
      </w:r>
      <w:r>
        <w:rPr>
          <w:szCs w:val="28"/>
        </w:rPr>
        <w:t xml:space="preserve"> должен включать следующую информацию: </w:t>
      </w:r>
      <w:r>
        <w:rPr>
          <w:b/>
          <w:i/>
          <w:szCs w:val="28"/>
        </w:rPr>
        <w:t>Заглавие работы; Фамилию И.О. (всех авторов)</w:t>
      </w:r>
      <w:r>
        <w:rPr>
          <w:i/>
          <w:szCs w:val="28"/>
        </w:rPr>
        <w:t xml:space="preserve">; </w:t>
      </w:r>
      <w:r>
        <w:rPr>
          <w:b/>
          <w:i/>
          <w:szCs w:val="28"/>
        </w:rPr>
        <w:t>Аффилиация всех авторов (принадлежность к организации)</w:t>
      </w:r>
      <w:r>
        <w:rPr>
          <w:i/>
          <w:szCs w:val="28"/>
        </w:rPr>
        <w:t xml:space="preserve">; </w:t>
      </w:r>
      <w:r>
        <w:rPr>
          <w:b/>
          <w:i/>
          <w:szCs w:val="28"/>
        </w:rPr>
        <w:t>Аннотация (Abstract)</w:t>
      </w:r>
      <w:r>
        <w:rPr>
          <w:szCs w:val="28"/>
        </w:rPr>
        <w:t xml:space="preserve"> 100–150 слов; </w:t>
      </w:r>
      <w:r>
        <w:rPr>
          <w:b/>
          <w:i/>
          <w:szCs w:val="28"/>
        </w:rPr>
        <w:t>Ключевые слова (Keywords)</w:t>
      </w:r>
      <w:r>
        <w:rPr>
          <w:szCs w:val="28"/>
        </w:rPr>
        <w:t>.</w:t>
      </w:r>
    </w:p>
    <w:p>
      <w:pPr>
        <w:pStyle w:val="Normal"/>
        <w:widowControl w:val="false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b/>
          <w:szCs w:val="28"/>
        </w:rPr>
        <w:t>Англоязычная часть статьи должна включать в себя</w:t>
      </w:r>
      <w:r>
        <w:rPr>
          <w:szCs w:val="28"/>
        </w:rPr>
        <w:t>:</w:t>
      </w:r>
    </w:p>
    <w:p>
      <w:pPr>
        <w:pStyle w:val="Normal"/>
        <w:widowControl w:val="false"/>
        <w:shd w:fill="FFFFFF" w:val="clear"/>
        <w:jc w:val="both"/>
        <w:rPr>
          <w:szCs w:val="28"/>
        </w:rPr>
      </w:pPr>
      <w:r>
        <w:rPr>
          <w:szCs w:val="28"/>
        </w:rPr>
        <w:t>1. Название статьи (Title), переведенный с русского языка. В переводе заглавий статей на английский язык не должно быть никаких транслитераций с русского языка, кроме непереводимых названий собственных имен и др. объектов, имеющих собственные названия; также не используется непереводимый сленг, известный только русскоговорящим специалистам. Это также касается авторских аннотаций и ключевых слов;</w:t>
      </w:r>
    </w:p>
    <w:p>
      <w:pPr>
        <w:pStyle w:val="Normal"/>
        <w:widowControl w:val="false"/>
        <w:shd w:fill="FFFFFF" w:val="clear"/>
        <w:jc w:val="both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 xml:space="preserve">Аффилиация (Affiliation). Для каждого автора с новой строки указывается: </w:t>
      </w:r>
      <w:r>
        <w:rPr>
          <w:b/>
          <w:i/>
          <w:szCs w:val="28"/>
        </w:rPr>
        <w:t>Фамилия</w:t>
      </w:r>
      <w:r>
        <w:rPr>
          <w:szCs w:val="28"/>
        </w:rPr>
        <w:t xml:space="preserve"> и </w:t>
      </w:r>
      <w:r>
        <w:rPr>
          <w:b/>
          <w:i/>
          <w:szCs w:val="28"/>
        </w:rPr>
        <w:t>Имя</w:t>
      </w:r>
      <w:r>
        <w:rPr>
          <w:szCs w:val="28"/>
        </w:rPr>
        <w:t xml:space="preserve"> и </w:t>
      </w:r>
      <w:r>
        <w:rPr>
          <w:b/>
          <w:i/>
          <w:szCs w:val="28"/>
        </w:rPr>
        <w:t>Отчество</w:t>
      </w:r>
      <w:r>
        <w:rPr>
          <w:szCs w:val="28"/>
        </w:rPr>
        <w:t xml:space="preserve">, </w:t>
      </w:r>
      <w:r>
        <w:rPr>
          <w:b/>
          <w:i/>
          <w:szCs w:val="28"/>
        </w:rPr>
        <w:t>степень</w:t>
      </w:r>
      <w:r>
        <w:rPr>
          <w:szCs w:val="28"/>
        </w:rPr>
        <w:t xml:space="preserve">, </w:t>
      </w:r>
      <w:r>
        <w:rPr>
          <w:b/>
          <w:i/>
          <w:szCs w:val="28"/>
        </w:rPr>
        <w:t>звание</w:t>
      </w:r>
      <w:r>
        <w:rPr>
          <w:szCs w:val="28"/>
        </w:rPr>
        <w:t xml:space="preserve">, </w:t>
      </w:r>
      <w:r>
        <w:rPr>
          <w:b/>
          <w:i/>
          <w:szCs w:val="28"/>
        </w:rPr>
        <w:t>должность</w:t>
      </w:r>
      <w:r>
        <w:rPr>
          <w:szCs w:val="28"/>
        </w:rPr>
        <w:t xml:space="preserve">, </w:t>
      </w:r>
      <w:r>
        <w:rPr>
          <w:b/>
          <w:i/>
          <w:szCs w:val="28"/>
        </w:rPr>
        <w:t>адрес электронной почты</w:t>
      </w:r>
      <w:r>
        <w:rPr>
          <w:szCs w:val="28"/>
        </w:rPr>
        <w:t xml:space="preserve"> (</w:t>
      </w:r>
      <w:r>
        <w:rPr>
          <w:b/>
          <w:i/>
          <w:szCs w:val="28"/>
        </w:rPr>
        <w:t>e-mail</w:t>
      </w:r>
      <w:r>
        <w:rPr>
          <w:szCs w:val="28"/>
        </w:rPr>
        <w:t xml:space="preserve">). С новой строки указывается место работы каждого автора в именительном падеже: </w:t>
      </w:r>
      <w:r>
        <w:rPr>
          <w:b/>
          <w:i/>
          <w:szCs w:val="28"/>
        </w:rPr>
        <w:t>официальное название организации на английском языке, которую он представляет, полный почтовый адрес организации (включая название улицы, город, почтовый индекс, страна)</w:t>
      </w:r>
      <w:r>
        <w:rPr>
          <w:szCs w:val="28"/>
        </w:rPr>
        <w:t xml:space="preserve">. Для указания принадлежности конкретного автора к конкретной организации используется система цифровых надстрочных индексов. (Для указания степени, звания и должности можно воспользоваться справочными материалами, представленными на сайте журнала: </w:t>
      </w:r>
      <w:hyperlink r:id="rId4">
        <w:r>
          <w:rPr>
            <w:rStyle w:val="Style9"/>
            <w:rFonts w:cs=""/>
            <w:szCs w:val="28"/>
          </w:rPr>
          <w:t>http://journals.nstu.ru/files/2_4/affiliation.doc</w:t>
        </w:r>
      </w:hyperlink>
      <w:r>
        <w:rPr>
          <w:szCs w:val="28"/>
        </w:rPr>
        <w:t>).</w:t>
      </w:r>
    </w:p>
    <w:p>
      <w:pPr>
        <w:pStyle w:val="Normal"/>
        <w:widowControl w:val="false"/>
        <w:shd w:fill="FFFFFF" w:val="clear"/>
        <w:jc w:val="both"/>
        <w:rPr>
          <w:szCs w:val="28"/>
        </w:rPr>
      </w:pPr>
      <w:r>
        <w:rPr>
          <w:szCs w:val="28"/>
        </w:rPr>
        <w:t xml:space="preserve">3. Аннотация (Abstract) – по объему больше аннотации на русском языке и включает </w:t>
      </w:r>
      <w:r>
        <w:rPr>
          <w:b/>
          <w:szCs w:val="28"/>
        </w:rPr>
        <w:t>100–250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слов</w:t>
      </w:r>
      <w:r>
        <w:rPr>
          <w:szCs w:val="28"/>
        </w:rPr>
        <w:t>, рекомендуется следовать хронологии статьи, использовать англоязычную специальную терминологию, не включать несущественные детали и использовать активный, а не пассивный залог, избегать сложных грамматических конструкций (не применимых в научном английском языке);</w:t>
      </w:r>
    </w:p>
    <w:p>
      <w:pPr>
        <w:pStyle w:val="Normal"/>
        <w:widowControl w:val="false"/>
        <w:jc w:val="both"/>
        <w:rPr>
          <w:szCs w:val="28"/>
        </w:rPr>
      </w:pPr>
      <w:r>
        <w:rPr>
          <w:rFonts w:eastAsia="Courier New"/>
          <w:color w:val="000000"/>
          <w:szCs w:val="28"/>
        </w:rPr>
        <w:t>4. Ключевые слова (Keywords)</w:t>
      </w:r>
      <w:r>
        <w:rPr>
          <w:rFonts w:eastAsia="Courier New"/>
          <w:b/>
          <w:color w:val="000000"/>
          <w:szCs w:val="28"/>
        </w:rPr>
        <w:t xml:space="preserve"> </w:t>
      </w:r>
      <w:r>
        <w:rPr>
          <w:szCs w:val="28"/>
        </w:rPr>
        <w:t>На английском языке – использовать термины из контролируемых словарей.</w:t>
      </w:r>
    </w:p>
    <w:p>
      <w:pPr>
        <w:pStyle w:val="Normal"/>
        <w:widowControl w:val="false"/>
        <w:ind w:left="709" w:right="0"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>Внимание!</w:t>
      </w:r>
      <w:r>
        <w:rPr>
          <w:rFonts w:eastAsia="Courier New"/>
          <w:color w:val="000000"/>
          <w:szCs w:val="28"/>
        </w:rPr>
        <w:t xml:space="preserve"> Авторам запрещается предоставлять переводы заголовков статей, аннотаций, ключевых слов, подготовленные с помощью электронных переводных систем (работы с ошибками и некорректным переводом будут отклонены).</w:t>
      </w:r>
    </w:p>
    <w:p>
      <w:pPr>
        <w:sectPr>
          <w:type w:val="nextPage"/>
          <w:pgSz w:w="11906" w:h="16838"/>
          <w:pgMar w:left="1134" w:right="851" w:header="0" w:top="851" w:footer="0" w:bottom="851" w:gutter="0"/>
          <w:pgNumType w:fmt="decimal"/>
          <w:formProt w:val="false"/>
          <w:textDirection w:val="lrTb"/>
          <w:docGrid w:type="default" w:linePitch="360" w:charSpace="4294952959"/>
        </w:sectPr>
        <w:pStyle w:val="NormalWeb"/>
        <w:spacing w:before="280" w:after="280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rFonts w:cs="Arial" w:ascii="Arial" w:hAnsi="Arial"/>
          <w:b/>
          <w:u w:val="single"/>
        </w:rPr>
      </w:pPr>
      <w:r>
        <w:rPr>
          <w:rFonts w:cs="Arial" w:ascii="Arial" w:hAnsi="Arial"/>
          <w:b/>
          <w:u w:val="single"/>
        </w:rPr>
        <w:t>Пример оформления статьи</w:t>
      </w:r>
    </w:p>
    <w:p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>
      <w:pPr>
        <w:pStyle w:val="Normal"/>
        <w:rPr>
          <w:b/>
        </w:rPr>
      </w:pPr>
      <w:r>
        <w:rPr>
          <w:b/>
        </w:rPr>
        <w:t>УДК 553.98:550.84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ГАЗОХРОМАТОГРАФИЧЕСКОЕ ОПРЕДЕЛЕНИЕ</w:t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АЦЕТОНА В ВОЗДУХЕ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left="0" w:right="0" w:hanging="0"/>
        <w:jc w:val="center"/>
        <w:rPr>
          <w:b/>
          <w:i/>
          <w:vertAlign w:val="superscript"/>
        </w:rPr>
      </w:pPr>
      <w:r>
        <w:rPr>
          <w:b/>
          <w:i/>
        </w:rPr>
        <w:t xml:space="preserve">Малышева Анастасия </w:t>
      </w:r>
      <w:r>
        <w:rPr>
          <w:b/>
          <w:i/>
          <w:szCs w:val="28"/>
        </w:rPr>
        <w:t xml:space="preserve">Олеговна </w:t>
      </w:r>
      <w:r>
        <w:rPr>
          <w:b/>
          <w:szCs w:val="28"/>
          <w:vertAlign w:val="superscript"/>
        </w:rPr>
        <w:t>12</w:t>
      </w:r>
      <w:r>
        <w:rPr>
          <w:szCs w:val="28"/>
        </w:rPr>
        <w:t>,</w:t>
      </w:r>
      <w:r>
        <w:rPr>
          <w:b/>
          <w:i/>
          <w:szCs w:val="28"/>
        </w:rPr>
        <w:t xml:space="preserve"> аспирант; </w:t>
      </w:r>
      <w:r>
        <w:rPr>
          <w:b/>
          <w:i/>
        </w:rPr>
        <w:t xml:space="preserve">Петров Иван Иванович </w:t>
      </w:r>
      <w:r>
        <w:rPr>
          <w:b/>
          <w:i/>
          <w:vertAlign w:val="superscript"/>
        </w:rPr>
        <w:t>2</w:t>
      </w:r>
    </w:p>
    <w:p>
      <w:pPr>
        <w:pStyle w:val="Normal"/>
        <w:ind w:left="0" w:right="0" w:hanging="0"/>
        <w:jc w:val="center"/>
        <w:rPr/>
      </w:pPr>
      <w:r>
        <w:rPr>
          <w:vertAlign w:val="superscript"/>
        </w:rPr>
        <w:t xml:space="preserve">1 </w:t>
      </w:r>
      <w:r>
        <w:rPr/>
        <w:t>Институт нефтегазовой геологии и геофизики им. А. А. Трофимука СО РАН, 630090, Россия, г. Новосибирск, пр. Академика Коптюга, 3</w:t>
      </w:r>
    </w:p>
    <w:p>
      <w:pPr>
        <w:pStyle w:val="Normal"/>
        <w:ind w:left="0" w:right="0" w:hanging="0"/>
        <w:jc w:val="center"/>
        <w:rPr/>
      </w:pPr>
      <w:r>
        <w:rPr>
          <w:vertAlign w:val="superscript"/>
        </w:rPr>
        <w:t>2 </w:t>
      </w:r>
      <w:r>
        <w:rPr/>
        <w:t>Новосибирский государственный технический университет, 630073, Россия, г. Новосибирск, пр. Карла Маркса, 20, тел. (913)005-48-19</w:t>
      </w:r>
    </w:p>
    <w:p>
      <w:pPr>
        <w:pStyle w:val="Normal"/>
        <w:ind w:left="0" w:right="0" w:hanging="0"/>
        <w:jc w:val="center"/>
        <w:rPr>
          <w:rStyle w:val="Style9"/>
          <w:lang w:val="en-US"/>
        </w:rPr>
      </w:pPr>
      <w:r>
        <w:rPr>
          <w:b/>
          <w:i/>
        </w:rPr>
        <w:t xml:space="preserve">Малышева А. </w:t>
      </w:r>
      <w:r>
        <w:rPr>
          <w:b/>
          <w:i/>
          <w:szCs w:val="28"/>
        </w:rPr>
        <w:t>О.</w:t>
      </w:r>
      <w:r>
        <w:rPr>
          <w:szCs w:val="28"/>
        </w:rPr>
        <w:t>,</w:t>
      </w:r>
      <w:r>
        <w:rPr>
          <w:szCs w:val="28"/>
          <w:lang w:val="en-US"/>
        </w:rPr>
        <w:t>email</w:t>
      </w:r>
      <w:r>
        <w:rPr>
          <w:b/>
          <w:i/>
          <w:szCs w:val="28"/>
        </w:rPr>
        <w:t xml:space="preserve"> </w:t>
      </w:r>
      <w:hyperlink r:id="rId5">
        <w:r>
          <w:rPr>
            <w:rStyle w:val="Style9"/>
            <w:lang w:val="en-US"/>
          </w:rPr>
          <w:t>nastymana</w:t>
        </w:r>
        <w:r>
          <w:rPr>
            <w:rStyle w:val="Style9"/>
          </w:rPr>
          <w:t>@</w:t>
        </w:r>
        <w:r>
          <w:rPr>
            <w:rStyle w:val="Style9"/>
            <w:lang w:val="en-US"/>
          </w:rPr>
          <w:t>yandex</w:t>
        </w:r>
        <w:r>
          <w:rPr>
            <w:rStyle w:val="Style9"/>
          </w:rPr>
          <w:t>.</w:t>
        </w:r>
        <w:r>
          <w:rPr>
            <w:rStyle w:val="Style9"/>
            <w:lang w:val="en-US"/>
          </w:rPr>
          <w:t>ru</w:t>
        </w:r>
      </w:hyperlink>
    </w:p>
    <w:p>
      <w:pPr>
        <w:pStyle w:val="Normal"/>
        <w:ind w:left="0" w:right="0" w:hanging="0"/>
        <w:jc w:val="center"/>
        <w:rPr>
          <w:rStyle w:val="Style9"/>
          <w:lang w:val="en-US"/>
        </w:rPr>
      </w:pPr>
      <w:r>
        <w:rPr>
          <w:b/>
          <w:i/>
        </w:rPr>
        <w:t>Петров И. И.</w:t>
      </w:r>
      <w:r>
        <w:rPr>
          <w:i/>
        </w:rPr>
        <w:t>,</w:t>
      </w:r>
      <w:r>
        <w:rPr/>
        <w:t xml:space="preserve">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>
          <w:b/>
          <w:i/>
        </w:rPr>
        <w:t xml:space="preserve"> </w:t>
      </w:r>
      <w:hyperlink r:id="rId6">
        <w:r>
          <w:rPr>
            <w:rStyle w:val="Style9"/>
            <w:lang w:val="en-US"/>
          </w:rPr>
          <w:t>iipetrovtest</w:t>
        </w:r>
        <w:r>
          <w:rPr>
            <w:rStyle w:val="Style9"/>
          </w:rPr>
          <w:t>@</w:t>
        </w:r>
        <w:r>
          <w:rPr>
            <w:rStyle w:val="Style9"/>
            <w:lang w:val="en-US"/>
          </w:rPr>
          <w:t>yandex</w:t>
        </w:r>
        <w:r>
          <w:rPr>
            <w:rStyle w:val="Style9"/>
          </w:rPr>
          <w:t>.</w:t>
        </w:r>
        <w:r>
          <w:rPr>
            <w:rStyle w:val="Style9"/>
            <w:lang w:val="en-US"/>
          </w:rPr>
          <w:t>ru</w:t>
        </w:r>
      </w:hyperlink>
    </w:p>
    <w:p>
      <w:pPr>
        <w:pStyle w:val="Normal"/>
        <w:ind w:left="0" w:right="0" w:hanging="0"/>
        <w:jc w:val="center"/>
        <w:rPr/>
      </w:pPr>
      <w:r>
        <w:rPr>
          <w:i/>
        </w:rPr>
        <w:t>Адрес для корреспонденции:</w:t>
      </w:r>
      <w:r>
        <w:rPr>
          <w:b/>
          <w:i/>
        </w:rPr>
        <w:t xml:space="preserve"> Малышева Анастасия Олеговна,</w:t>
      </w:r>
      <w:r>
        <w:rPr/>
        <w:t xml:space="preserve"> Новосибирский государственный технический университет, 630073, Россия, г. Новосибирск, пр. Карла Маркса, 20, тел. (913)005-48-19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jc w:val="both"/>
        <w:rPr>
          <w:b/>
          <w:szCs w:val="28"/>
        </w:rPr>
      </w:pPr>
      <w:r>
        <w:rPr>
          <w:b/>
          <w:szCs w:val="28"/>
        </w:rPr>
        <w:t>Аннотация</w:t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  <w:t xml:space="preserve"> </w:t>
      </w:r>
    </w:p>
    <w:p>
      <w:pPr>
        <w:pStyle w:val="Normal"/>
        <w:jc w:val="both"/>
        <w:rPr>
          <w:b/>
          <w:szCs w:val="28"/>
        </w:rPr>
      </w:pPr>
      <w:r>
        <w:rPr>
          <w:b/>
          <w:szCs w:val="28"/>
        </w:rPr>
        <w:t>Ключевые слова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&lt;желательная структура текста представляемого материала &gt;</w:t>
      </w:r>
    </w:p>
    <w:p>
      <w:pPr>
        <w:pStyle w:val="Normal"/>
        <w:keepNext/>
        <w:widowControl w:val="false"/>
        <w:rPr>
          <w:b/>
          <w:szCs w:val="28"/>
        </w:rPr>
      </w:pPr>
      <w:r>
        <w:rPr>
          <w:b/>
          <w:szCs w:val="28"/>
        </w:rPr>
        <w:t>1. Введение</w:t>
      </w:r>
    </w:p>
    <w:p>
      <w:pPr>
        <w:pStyle w:val="Normal"/>
        <w:keepNext/>
        <w:widowControl w:val="false"/>
        <w:rPr>
          <w:szCs w:val="28"/>
        </w:rPr>
      </w:pPr>
      <w:r>
        <w:rPr>
          <w:b/>
          <w:szCs w:val="28"/>
        </w:rPr>
        <w:t>2. Теория</w:t>
      </w:r>
      <w:r>
        <w:rPr>
          <w:szCs w:val="28"/>
        </w:rPr>
        <w:t xml:space="preserve">  или </w:t>
      </w:r>
      <w:r>
        <w:rPr>
          <w:b/>
          <w:szCs w:val="28"/>
        </w:rPr>
        <w:t xml:space="preserve">методика экспериментального исследования </w:t>
      </w:r>
      <w:r>
        <w:rPr>
          <w:szCs w:val="28"/>
        </w:rPr>
        <w:t>или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материалы и методы </w:t>
      </w:r>
      <w:r>
        <w:rPr>
          <w:szCs w:val="28"/>
        </w:rPr>
        <w:t>и др.</w:t>
      </w:r>
    </w:p>
    <w:p>
      <w:pPr>
        <w:pStyle w:val="Normal"/>
        <w:jc w:val="both"/>
        <w:rPr/>
      </w:pPr>
      <w:r>
        <w:rPr/>
        <w:t>Особенностью газохроматографического анализа является необходимость периодической градуировки (калибровки) в процессе измерений [1]… Пример оформления рисунка представлен на рис. 1–2.</w:t>
      </w:r>
    </w:p>
    <w:p>
      <w:pPr>
        <w:pStyle w:val="Normal"/>
        <w:rPr/>
      </w:pPr>
      <w:r>
        <w:rPr/>
      </w:r>
    </w:p>
    <w:p>
      <w:pPr>
        <w:pStyle w:val="Normal"/>
        <w:keepNext/>
        <w:ind w:left="0" w:right="0" w:hanging="0"/>
        <w:jc w:val="center"/>
        <w:rPr/>
      </w:pPr>
      <w:r>
        <w:rPr/>
        <w:drawing>
          <wp:inline distT="0" distB="0" distL="0" distR="0">
            <wp:extent cx="4398645" cy="270002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 xml:space="preserve">Рис. </w:t>
      </w:r>
      <w:r>
        <w:rPr>
          <w:sz w:val="24"/>
        </w:rPr>
        <w:fldChar w:fldCharType="begin"/>
      </w:r>
      <w:r>
        <w:instrText> SEQ "Рисунок" \*Arabic </w:instrText>
      </w:r>
      <w:r>
        <w:fldChar w:fldCharType="separate"/>
      </w:r>
      <w:r>
        <w:t>1</w:t>
      </w:r>
      <w:r>
        <w:fldChar w:fldCharType="end"/>
      </w:r>
      <w:r>
        <w:rPr>
          <w:sz w:val="24"/>
        </w:rPr>
        <w:t>. Хроматограф ЭХО-В-ФИД с пробоотборной приставкой:</w:t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>1 – хроматограф "ЭХО-В-ФИД"; 2 – пробоотборная приставка; 3 – блок</w:t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>обеспечения пробоотборной приставки; 4 – персональный компьютер</w:t>
      </w:r>
    </w:p>
    <w:p>
      <w:pPr>
        <w:pStyle w:val="Normal"/>
        <w:jc w:val="center"/>
        <w:rPr/>
      </w:pPr>
      <w:r>
        <w:rPr/>
      </w:r>
    </w:p>
    <w:p>
      <w:pPr>
        <w:pStyle w:val="Normal"/>
        <w:keepNext/>
        <w:ind w:left="0" w:right="0" w:hanging="0"/>
        <w:jc w:val="center"/>
        <w:rPr/>
      </w:pPr>
      <w:r>
        <w:rPr/>
        <w:drawing>
          <wp:inline distT="0" distB="0" distL="0" distR="0">
            <wp:extent cx="4278630" cy="19443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>Рис. 2. Хроматограммы газовой фазы (290 мл) над водой (200 мл),</w:t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>содержащей 1 мкл ацетона (верхняя), и хроматограммы</w:t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</w:rPr>
        <w:t>выдыхаемого человеком воздуха (нижние)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В области малых концентраций пользуются законом Генри (1) и уравнением материального баланса (2).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  <m:sSub>
          <m:e>
            <m:r>
              <w:rPr>
                <w:rFonts w:ascii="Cambria Math" w:hAnsi="Cambria Math"/>
              </w:rPr>
              <m:t xml:space="preserve">·</m:t>
            </m:r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G</m:t>
            </m:r>
          </m:sub>
        </m:sSub>
      </m:oMath>
      <w:r>
        <w:rPr>
          <w:i/>
        </w:rPr>
        <w:t xml:space="preserve">                                                             </w:t>
      </w:r>
      <w:r>
        <w:rPr/>
        <w:t>(1)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</w:rPr>
        <w:fldChar w:fldCharType="begin"/>
      </w:r>
      <w:r>
        <w:instrText> SEQ "Таблица" \*Arabic </w:instrText>
      </w:r>
      <w:r>
        <w:fldChar w:fldCharType="separate"/>
      </w:r>
      <w:r>
        <w:t>1</w:t>
      </w:r>
      <w:r>
        <w:fldChar w:fldCharType="end"/>
      </w:r>
    </w:p>
    <w:p>
      <w:pPr>
        <w:pStyle w:val="Normal"/>
        <w:ind w:left="0" w:right="0" w:hanging="0"/>
        <w:jc w:val="center"/>
        <w:rPr>
          <w:szCs w:val="28"/>
        </w:rPr>
      </w:pPr>
      <w:r>
        <w:rPr>
          <w:szCs w:val="28"/>
        </w:rPr>
        <w:t>Пример оформления таблицы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611"/>
        <w:gridCol w:w="1984"/>
        <w:gridCol w:w="1984"/>
        <w:gridCol w:w="2128"/>
      </w:tblGrid>
      <w:tr>
        <w:trPr>
          <w:trHeight w:val="902" w:hRule="atLeast"/>
          <w:cantSplit w:val="false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/>
              <w:t>Концентрация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Время, с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Средняя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высота пика, 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Средняя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площадь, В*с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Концентрация,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vertAlign w:val="superscript"/>
              </w:rPr>
            </w:pPr>
            <w:r>
              <w:rPr/>
              <w:t>10</w:t>
            </w:r>
            <w:r>
              <w:rPr>
                <w:vertAlign w:val="superscript"/>
              </w:rPr>
              <w:t>-6</w:t>
            </w:r>
            <w:r>
              <w:rPr/>
              <w:t xml:space="preserve"> мг/см</w:t>
            </w:r>
            <w:r>
              <w:rPr>
                <w:vertAlign w:val="superscript"/>
              </w:rPr>
              <w:t>3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373" w:hRule="atLeast"/>
          <w:cantSplit w:val="false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/>
              <w:t xml:space="preserve">Калибровка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22,48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64,95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160,52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5,25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23" w:hRule="atLeast"/>
          <w:cantSplit w:val="false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/>
              <w:t xml:space="preserve">Выдох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22,62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14,14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35,65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t>1,2</w:t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3. Результаты и обсуждение</w:t>
      </w:r>
    </w:p>
    <w:p>
      <w:pPr>
        <w:pStyle w:val="Normal"/>
        <w:rPr>
          <w:b/>
        </w:rPr>
      </w:pPr>
      <w:r>
        <w:rPr>
          <w:b/>
        </w:rPr>
        <w:t>4. Выводы</w:t>
      </w:r>
    </w:p>
    <w:p>
      <w:pPr>
        <w:pStyle w:val="Normal"/>
        <w:ind w:left="0" w:right="0" w:hanging="0"/>
        <w:jc w:val="center"/>
        <w:rPr>
          <w:b/>
        </w:rPr>
      </w:pPr>
      <w:r>
        <w:rPr>
          <w:b/>
        </w:rPr>
        <w:t>СПИСОК ЛИТЕРАТУРЫ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 xml:space="preserve">Яшин Я. И., Яшин Е. Я., Яшин А. Я. Газовая хроматография. – М.: ТрансЛит, 2009. – 528 с. 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 xml:space="preserve">Содержание легких углеводородов в выдыхаемом воздухе в зависимости от факторов риска метаболических нарушений / В. Ю. Куликов, Л. А. Руяткина, М. Ю. Сорокин, Е. С. Шабанова, М. Н. Балдин, В. М. Грузнов, А. П. Ефименко, Д. В. Петровский, Е. П. Шнайдер, М. П. Мошкин // Физиология человека. – 2011. – Т. 37, № 3. – С. 70–75. 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 xml:space="preserve">Взаимосвязь между содержанием в выдыхаемом воздухе ацетона и особенностями метаболических нарушений у больных сахарным диабетом первого и второго типов [Электронный ресурс] / В. Ю. Куликов, Л. А. Руяткина, М. Ю. Сорокин, Е. С. Шабанова, М. Н. Балдин, В. М. Грузнов, А. П. Ефименко, Д. В. Петровский, Е. П. Шнайдер, М. П. Мошкин // Медицина и образование в Сибири: электронный научный журнал. –2011. – № 1. – Режим доступа: http://ngmu.ru/cozo/mos/article/text_full.php?id=468 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/>
      </w:pPr>
      <w:r>
        <w:rPr/>
        <w:t>Витенберг А. Г., Иоффе Б. В. Газовая экстракция в хроматографическом анализе. – Ленинград: Химия, 1982.</w:t>
      </w:r>
    </w:p>
    <w:p>
      <w:pPr>
        <w:pStyle w:val="ListParagraph"/>
        <w:ind w:left="709" w:right="0" w:hanging="0"/>
        <w:jc w:val="both"/>
        <w:rPr/>
      </w:pPr>
      <w:r>
        <w:rPr/>
      </w:r>
    </w:p>
    <w:p>
      <w:pPr>
        <w:pStyle w:val="ListParagraph"/>
        <w:ind w:left="709" w:right="0" w:hanging="0"/>
        <w:jc w:val="both"/>
        <w:rPr>
          <w:b/>
          <w:szCs w:val="28"/>
        </w:rPr>
      </w:pPr>
      <w:r>
        <w:rPr>
          <w:b/>
          <w:szCs w:val="28"/>
        </w:rPr>
        <w:t>Англоязычный блок статьи</w:t>
      </w:r>
    </w:p>
    <w:sectPr>
      <w:type w:val="nextPage"/>
      <w:pgSz w:w="11906" w:h="16838"/>
      <w:pgMar w:left="1440" w:right="850" w:header="0" w:top="709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name="heading 4"/>
    <w:lsdException w:qFormat="1" w:unhideWhenUsed="0" w:semiHidden="0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866a3"/>
    <w:pPr>
      <w:widowControl/>
      <w:suppressAutoHyphens w:val="true"/>
      <w:bidi w:val="0"/>
      <w:spacing w:lineRule="auto" w:line="240" w:before="0" w:after="0"/>
      <w:ind w:left="0" w:right="0" w:firstLine="709"/>
      <w:jc w:val="left"/>
    </w:pPr>
    <w:rPr>
      <w:rFonts w:ascii="Times New Roman" w:hAnsi="Times New Roman" w:eastAsia="Times New Roman" w:cs="Times New Roman"/>
      <w:color w:val="auto"/>
      <w:sz w:val="28"/>
      <w:szCs w:val="24"/>
      <w:lang w:val="ru-RU" w:eastAsia="ru-RU" w:bidi="ar-SA"/>
    </w:rPr>
  </w:style>
  <w:style w:type="paragraph" w:styleId="1">
    <w:name w:val="Заголовок 1"/>
    <w:uiPriority w:val="99"/>
    <w:qFormat/>
    <w:link w:val="10"/>
    <w:rsid w:val="00cb1038"/>
    <w:basedOn w:val="Normal"/>
    <w:pPr>
      <w:keepNext/>
      <w:jc w:val="center"/>
      <w:outlineLvl w:val="0"/>
    </w:pPr>
    <w:rPr>
      <w:b/>
      <w:bCs/>
    </w:rPr>
  </w:style>
  <w:style w:type="paragraph" w:styleId="2">
    <w:name w:val="Заголовок 2"/>
    <w:uiPriority w:val="99"/>
    <w:qFormat/>
    <w:link w:val="20"/>
    <w:rsid w:val="00cb1038"/>
    <w:basedOn w:val="Normal"/>
    <w:pPr>
      <w:keepNext/>
      <w:jc w:val="both"/>
      <w:outlineLvl w:val="1"/>
    </w:pPr>
    <w:rPr>
      <w:b/>
      <w:bCs/>
      <w:sz w:val="48"/>
      <w:szCs w:val="48"/>
    </w:rPr>
  </w:style>
  <w:style w:type="paragraph" w:styleId="3">
    <w:name w:val="Заголовок 3"/>
    <w:uiPriority w:val="99"/>
    <w:qFormat/>
    <w:link w:val="30"/>
    <w:rsid w:val="00cb1038"/>
    <w:basedOn w:val="Normal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Заголовок 4"/>
    <w:uiPriority w:val="99"/>
    <w:qFormat/>
    <w:link w:val="40"/>
    <w:rsid w:val="00cb1038"/>
    <w:basedOn w:val="Normal"/>
    <w:pPr>
      <w:keepNext/>
      <w:jc w:val="both"/>
      <w:outlineLvl w:val="3"/>
    </w:pPr>
    <w:rPr>
      <w:b/>
      <w:bCs/>
    </w:rPr>
  </w:style>
  <w:style w:type="paragraph" w:styleId="5">
    <w:name w:val="Заголовок 5"/>
    <w:uiPriority w:val="99"/>
    <w:qFormat/>
    <w:link w:val="50"/>
    <w:rsid w:val="00cb1038"/>
    <w:basedOn w:val="Normal"/>
    <w:pPr>
      <w:keepNext/>
      <w:shd w:fill="FFFFFF" w:val="clear"/>
      <w:spacing w:lineRule="exact" w:line="322"/>
      <w:ind w:left="0" w:right="0" w:firstLine="720"/>
      <w:outlineLvl w:val="4"/>
    </w:pPr>
    <w:rPr>
      <w:color w:val="000000"/>
      <w:spacing w:val="-3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9"/>
    <w:link w:val="1"/>
    <w:locked/>
    <w:rsid w:val="00cb1038"/>
    <w:basedOn w:val="DefaultParagraphFont"/>
    <w:rPr>
      <w:rFonts w:ascii="Cambria" w:hAnsi="Cambria" w:cs=""/>
      <w:b/>
      <w:bCs/>
      <w:sz w:val="32"/>
      <w:szCs w:val="32"/>
    </w:rPr>
  </w:style>
  <w:style w:type="character" w:styleId="21" w:customStyle="1">
    <w:name w:val="Заголовок 2 Знак"/>
    <w:uiPriority w:val="9"/>
    <w:semiHidden/>
    <w:link w:val="2"/>
    <w:locked/>
    <w:rsid w:val="00cb1038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"/>
    <w:semiHidden/>
    <w:link w:val="3"/>
    <w:locked/>
    <w:rsid w:val="00cb1038"/>
    <w:basedOn w:val="DefaultParagraphFont"/>
    <w:rPr>
      <w:rFonts w:ascii="Cambria" w:hAnsi="Cambria" w:cs=""/>
      <w:b/>
      <w:bCs/>
      <w:sz w:val="26"/>
      <w:szCs w:val="26"/>
    </w:rPr>
  </w:style>
  <w:style w:type="character" w:styleId="41" w:customStyle="1">
    <w:name w:val="Заголовок 4 Знак"/>
    <w:uiPriority w:val="99"/>
    <w:link w:val="4"/>
    <w:locked/>
    <w:rsid w:val="00cb1038"/>
    <w:basedOn w:val="DefaultParagraphFont"/>
    <w:rPr>
      <w:rFonts w:ascii="Calibri" w:hAnsi="Calibri" w:cs=""/>
      <w:b/>
      <w:bCs/>
      <w:sz w:val="28"/>
      <w:szCs w:val="28"/>
    </w:rPr>
  </w:style>
  <w:style w:type="character" w:styleId="51" w:customStyle="1">
    <w:name w:val="Заголовок 5 Знак"/>
    <w:uiPriority w:val="9"/>
    <w:semiHidden/>
    <w:link w:val="5"/>
    <w:locked/>
    <w:rsid w:val="00cb1038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Style9">
    <w:name w:val="Интернет-ссылка"/>
    <w:uiPriority w:val="99"/>
    <w:rsid w:val="00cb1038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0" w:customStyle="1">
    <w:name w:val="Основной текст Знак"/>
    <w:uiPriority w:val="99"/>
    <w:semiHidden/>
    <w:link w:val="a4"/>
    <w:locked/>
    <w:rsid w:val="00cb1038"/>
    <w:basedOn w:val="DefaultParagraphFont"/>
    <w:rPr>
      <w:rFonts w:cs="Times New Roman"/>
      <w:sz w:val="24"/>
      <w:szCs w:val="24"/>
    </w:rPr>
  </w:style>
  <w:style w:type="character" w:styleId="Style11" w:customStyle="1">
    <w:name w:val="Название Знак"/>
    <w:uiPriority w:val="99"/>
    <w:link w:val="a6"/>
    <w:locked/>
    <w:rsid w:val="00cb1038"/>
    <w:basedOn w:val="DefaultParagraphFont"/>
    <w:rPr>
      <w:rFonts w:ascii="Cambria" w:hAnsi="Cambria" w:cs=""/>
      <w:b/>
      <w:bCs/>
      <w:sz w:val="32"/>
      <w:szCs w:val="32"/>
    </w:rPr>
  </w:style>
  <w:style w:type="character" w:styleId="22" w:customStyle="1">
    <w:name w:val="Основной текст 2 Знак"/>
    <w:uiPriority w:val="99"/>
    <w:link w:val="21"/>
    <w:locked/>
    <w:rsid w:val="00cb1038"/>
    <w:basedOn w:val="DefaultParagraphFont"/>
    <w:rPr>
      <w:rFonts w:cs="Times New Roman"/>
      <w:sz w:val="24"/>
      <w:szCs w:val="24"/>
    </w:rPr>
  </w:style>
  <w:style w:type="character" w:styleId="32" w:customStyle="1">
    <w:name w:val="Основной текст 3 Знак"/>
    <w:uiPriority w:val="99"/>
    <w:semiHidden/>
    <w:link w:val="31"/>
    <w:locked/>
    <w:rsid w:val="00cb1038"/>
    <w:basedOn w:val="DefaultParagraphFont"/>
    <w:rPr>
      <w:rFonts w:cs="Times New Roman"/>
      <w:sz w:val="16"/>
      <w:szCs w:val="16"/>
    </w:rPr>
  </w:style>
  <w:style w:type="character" w:styleId="Style12" w:customStyle="1">
    <w:name w:val="Основной текст с отступом Знак"/>
    <w:uiPriority w:val="99"/>
    <w:link w:val="a8"/>
    <w:locked/>
    <w:rsid w:val="00cb1038"/>
    <w:basedOn w:val="DefaultParagraphFont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a3239"/>
    <w:basedOn w:val="DefaultParagraphFont"/>
    <w:rPr>
      <w:color w:val="800080"/>
      <w:u w:val="single"/>
    </w:rPr>
  </w:style>
  <w:style w:type="character" w:styleId="Strong">
    <w:name w:val="Strong"/>
    <w:uiPriority w:val="22"/>
    <w:qFormat/>
    <w:rsid w:val="00b7677d"/>
    <w:basedOn w:val="DefaultParagraphFont"/>
    <w:rPr>
      <w:b/>
      <w:bCs/>
    </w:rPr>
  </w:style>
  <w:style w:type="character" w:styleId="Style13">
    <w:name w:val="Выделение"/>
    <w:uiPriority w:val="20"/>
    <w:qFormat/>
    <w:rsid w:val="00b7677d"/>
    <w:basedOn w:val="DefaultParagraphFont"/>
    <w:rPr>
      <w:i/>
      <w:iCs/>
    </w:rPr>
  </w:style>
  <w:style w:type="character" w:styleId="Appleconvertedspace" w:customStyle="1">
    <w:name w:val="apple-converted-space"/>
    <w:rsid w:val="00b7677d"/>
    <w:basedOn w:val="DefaultParagraphFont"/>
    <w:rPr/>
  </w:style>
  <w:style w:type="character" w:styleId="Style14" w:customStyle="1">
    <w:name w:val="Текст выноски Знак"/>
    <w:uiPriority w:val="99"/>
    <w:semiHidden/>
    <w:link w:val="af0"/>
    <w:rsid w:val="00321412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c1a16"/>
    <w:basedOn w:val="DefaultParagraphFont"/>
    <w:rPr>
      <w:color w:val="808080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"/>
      <w:b w:val="false"/>
      <w:color w:val="000000"/>
    </w:rPr>
  </w:style>
  <w:style w:type="character" w:styleId="ListLabel4">
    <w:name w:val="ListLabel 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ListLabel5">
    <w:name w:val="ListLabel 5"/>
    <w:rPr>
      <w:rFonts w:eastAsia="Times New Roman"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uiPriority w:val="99"/>
    <w:link w:val="a5"/>
    <w:rsid w:val="00cb1038"/>
    <w:basedOn w:val="Normal"/>
    <w:pPr>
      <w:spacing w:lineRule="auto" w:line="288"/>
      <w:jc w:val="both"/>
    </w:pPr>
    <w:rPr>
      <w:sz w:val="32"/>
      <w:szCs w:val="32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uiPriority w:val="99"/>
    <w:qFormat/>
    <w:link w:val="a7"/>
    <w:rsid w:val="00cb1038"/>
    <w:basedOn w:val="Normal"/>
    <w:pPr>
      <w:jc w:val="center"/>
    </w:pPr>
    <w:rPr>
      <w:b/>
      <w:bCs/>
      <w:sz w:val="40"/>
      <w:szCs w:val="40"/>
    </w:rPr>
  </w:style>
  <w:style w:type="paragraph" w:styleId="BodyText2">
    <w:name w:val="Body Text 2"/>
    <w:uiPriority w:val="99"/>
    <w:link w:val="22"/>
    <w:rsid w:val="00cb1038"/>
    <w:basedOn w:val="Normal"/>
    <w:pPr>
      <w:jc w:val="both"/>
    </w:pPr>
    <w:rPr/>
  </w:style>
  <w:style w:type="paragraph" w:styleId="BodyText3">
    <w:name w:val="Body Text 3"/>
    <w:uiPriority w:val="99"/>
    <w:link w:val="32"/>
    <w:rsid w:val="00cb1038"/>
    <w:basedOn w:val="Normal"/>
    <w:pPr>
      <w:jc w:val="both"/>
    </w:pPr>
    <w:rPr>
      <w:b/>
      <w:bCs/>
    </w:rPr>
  </w:style>
  <w:style w:type="paragraph" w:styleId="Style21">
    <w:name w:val="Основной текст с отступом"/>
    <w:uiPriority w:val="99"/>
    <w:link w:val="a9"/>
    <w:rsid w:val="00cb1038"/>
    <w:basedOn w:val="Normal"/>
    <w:pPr>
      <w:ind w:left="0" w:right="0" w:firstLine="360"/>
      <w:jc w:val="both"/>
    </w:pPr>
    <w:rPr>
      <w:sz w:val="20"/>
      <w:szCs w:val="20"/>
    </w:rPr>
  </w:style>
  <w:style w:type="paragraph" w:styleId="NormalWeb">
    <w:name w:val="Normal (Web)"/>
    <w:uiPriority w:val="99"/>
    <w:rsid w:val="002a3239"/>
    <w:basedOn w:val="Normal"/>
    <w:pPr>
      <w:spacing w:before="0" w:after="280"/>
    </w:pPr>
    <w:rPr/>
  </w:style>
  <w:style w:type="paragraph" w:styleId="ListParagraph">
    <w:name w:val="List Paragraph"/>
    <w:uiPriority w:val="34"/>
    <w:qFormat/>
    <w:rsid w:val="00b7677d"/>
    <w:basedOn w:val="Normal"/>
    <w:pPr>
      <w:spacing w:before="0" w:after="0"/>
      <w:ind w:left="720" w:right="0" w:firstLine="709"/>
      <w:contextualSpacing/>
    </w:pPr>
    <w:rPr/>
  </w:style>
  <w:style w:type="paragraph" w:styleId="BalloonText">
    <w:name w:val="Balloon Text"/>
    <w:uiPriority w:val="99"/>
    <w:semiHidden/>
    <w:unhideWhenUsed/>
    <w:link w:val="af1"/>
    <w:rsid w:val="00321412"/>
    <w:basedOn w:val="Normal"/>
    <w:pPr/>
    <w:rPr>
      <w:rFonts w:ascii="Tahoma" w:hAnsi="Tahoma" w:cs="Tahoma"/>
      <w:sz w:val="16"/>
      <w:szCs w:val="16"/>
    </w:rPr>
  </w:style>
  <w:style w:type="paragraph" w:styleId="Caption">
    <w:name w:val="caption"/>
    <w:uiPriority w:val="35"/>
    <w:qFormat/>
    <w:unhideWhenUsed/>
    <w:rsid w:val="009a70af"/>
    <w:basedOn w:val="Normal"/>
    <w:pPr>
      <w:spacing w:before="0" w:after="200"/>
    </w:pPr>
    <w:rPr>
      <w:b/>
      <w:bCs/>
      <w:color w:val="4F81BD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f6f6f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f6f6f"/>
    <w:pPr>
      <w:spacing w:line="240" w:lineRule="auto" w:after="0"/>
    </w:pPr>
    <w:rPr>
      <w:color w:themeShade="bf" w:themeColor="text1" w:val="000000"/>
    </w:rPr>
    <w:tblPr>
      <w:tblStyleRowBandSize w:val="1"/>
      <w:tblStyleColBandSize w:val="1"/>
      <w:tblInd w:type="dxa" w:w="0"/>
      <w:tblBorders>
        <w:top w:space="0" w:sz="8" w:themeColor="text1" w:color="000000" w:val="single"/>
        <w:bottom w:space="0" w:sz="8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 w:after="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lastRow">
      <w:pPr>
        <w:spacing w:line="240" w:lineRule="auto" w:after="0" w:before="0"/>
      </w:pPr>
      <w:rPr>
        <w:b/>
        <w:bCs/>
      </w:rPr>
      <w:tblPr/>
      <w:tcPr>
        <w:tcBorders>
          <w:top w:space="0" w:sz="8" w:themeColor="text1" w:color="000000" w:val="single"/>
          <w:left w:val="nil"/>
          <w:bottom w:space="0" w:sz="8" w:themeColor="text1" w:color="00000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text1" w:fill="C0C0C0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.virmk.ru/doc/UDK/" TargetMode="External"/><Relationship Id="rId3" Type="http://schemas.openxmlformats.org/officeDocument/2006/relationships/hyperlink" Target="http://journals.nstu.ru/files/2_4/affiliation.doc" TargetMode="External"/><Relationship Id="rId4" Type="http://schemas.openxmlformats.org/officeDocument/2006/relationships/hyperlink" Target="http://journals.nstu.ru/files/2_4/affiliation.doc" TargetMode="External"/><Relationship Id="rId5" Type="http://schemas.openxmlformats.org/officeDocument/2006/relationships/hyperlink" Target="mailto:nastymana@yandex.ru" TargetMode="External"/><Relationship Id="rId6" Type="http://schemas.openxmlformats.org/officeDocument/2006/relationships/hyperlink" Target="mailto:iipetrovtest@yandex.ru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68E0-3B28-4EFB-94C0-F9A02F6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2016-02-20T06:27:00Z</dcterms:created>
  <dc:creator>Steve</dc:creator>
  <dc:language>ru-RU</dc:language>
  <cp:lastModifiedBy>GDU</cp:lastModifiedBy>
  <cp:lastPrinted>2016-01-27T11:03:00Z</cp:lastPrinted>
  <dcterms:modified xsi:type="dcterms:W3CDTF">2016-02-20T06:27:00Z</dcterms:modified>
  <cp:revision>3</cp:revision>
  <dc:title>Всероссийская</dc:title>
</cp:coreProperties>
</file>